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Bookman Old Style" w:hAnsi="Bookman Old Style" w:cs="Bookman Old Style" w:eastAsia="Bookman Old Style"/>
          <w:b/>
          <w:i/>
          <w:color w:val="auto"/>
          <w:spacing w:val="0"/>
          <w:position w:val="0"/>
          <w:sz w:val="24"/>
          <w:shd w:fill="auto" w:val="clear"/>
        </w:rPr>
      </w:pPr>
      <w:r>
        <w:object w:dxaOrig="3968" w:dyaOrig="5952">
          <v:rect xmlns:o="urn:schemas-microsoft-com:office:office" xmlns:v="urn:schemas-microsoft-com:vml" id="rectole0000000000" style="width:198.400000pt;height:297.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Bookman Old Style" w:hAnsi="Bookman Old Style" w:cs="Bookman Old Style" w:eastAsia="Bookman Old Style"/>
          <w:b/>
          <w:i/>
          <w:color w:val="auto"/>
          <w:spacing w:val="0"/>
          <w:position w:val="0"/>
          <w:sz w:val="24"/>
          <w:shd w:fill="auto" w:val="clear"/>
        </w:rPr>
      </w:pPr>
    </w:p>
    <w:p>
      <w:pPr>
        <w:spacing w:before="0" w:after="0" w:line="240"/>
        <w:ind w:right="0" w:left="0" w:firstLine="0"/>
        <w:jc w:val="center"/>
        <w:rPr>
          <w:rFonts w:ascii="Bookman Old Style" w:hAnsi="Bookman Old Style" w:cs="Bookman Old Style" w:eastAsia="Bookman Old Style"/>
          <w:b/>
          <w:i/>
          <w:color w:val="auto"/>
          <w:spacing w:val="0"/>
          <w:position w:val="0"/>
          <w:sz w:val="24"/>
          <w:shd w:fill="auto" w:val="clear"/>
        </w:rPr>
      </w:pPr>
      <w:r>
        <w:rPr>
          <w:rFonts w:ascii="Bookman Old Style" w:hAnsi="Bookman Old Style" w:cs="Bookman Old Style" w:eastAsia="Bookman Old Style"/>
          <w:b/>
          <w:i/>
          <w:color w:val="auto"/>
          <w:spacing w:val="0"/>
          <w:position w:val="0"/>
          <w:sz w:val="24"/>
          <w:shd w:fill="auto" w:val="clear"/>
        </w:rPr>
        <w:t xml:space="preserve">The long-awaited Volume Two by Bill Tompkins is here!</w:t>
      </w:r>
    </w:p>
    <w:p>
      <w:pPr>
        <w:spacing w:before="0" w:after="0" w:line="240"/>
        <w:ind w:right="0" w:left="0" w:firstLine="0"/>
        <w:jc w:val="both"/>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The first volume introduced the reader to Bill’s skills of memory, and the opportunity to be involved as a courier in an unknown spy story of WWII: our Naval officers living in Germany told us how the Nazis were building flying saucers, but too late to win the war. His assignment to a Think Tank at Douglas Aircraft resulted in his doing the drawings under Navy contract for mile-long spacecraft. His stories in Volume One only went up to 1969 when he started to work for TRW, permitting him to see the Armstrong Moon landing in real time, uncensored.</w:t>
      </w:r>
    </w:p>
    <w:p>
      <w:pPr>
        <w:spacing w:before="0" w:after="0" w:line="240"/>
        <w:ind w:right="0" w:left="0" w:firstLine="0"/>
        <w:jc w:val="both"/>
        <w:rPr>
          <w:rFonts w:ascii="Bookman Old Style" w:hAnsi="Bookman Old Style" w:cs="Bookman Old Style" w:eastAsia="Bookman Old Style"/>
          <w:color w:val="auto"/>
          <w:spacing w:val="0"/>
          <w:position w:val="0"/>
          <w:sz w:val="24"/>
          <w:shd w:fill="auto" w:val="clear"/>
        </w:rPr>
      </w:pPr>
    </w:p>
    <w:p>
      <w:pPr>
        <w:spacing w:before="0" w:after="0" w:line="240"/>
        <w:ind w:right="0" w:left="0" w:firstLine="720"/>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Not in that volume, however, were the amazing projects that he was exposed to while working forTRW over several years, and his subsequent and continuing involvement with secret projects sponsored by the Navy League.</w:t>
      </w:r>
    </w:p>
    <w:p>
      <w:pPr>
        <w:spacing w:before="0" w:after="0" w:line="240"/>
        <w:ind w:right="0" w:left="0" w:firstLine="72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720"/>
        <w:jc w:val="left"/>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Go to Amazon or Kindle and reserve a copy, available on 30 April</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720"/>
        <w:jc w:val="center"/>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b/>
          <w:color w:val="auto"/>
          <w:spacing w:val="0"/>
          <w:position w:val="0"/>
          <w:sz w:val="24"/>
          <w:shd w:fill="auto" w:val="clear"/>
        </w:rPr>
        <w:t xml:space="preserve">The highlights of some of the new startling revelations are</w:t>
      </w:r>
      <w:r>
        <w:rPr>
          <w:rFonts w:ascii="Bookman Old Style" w:hAnsi="Bookman Old Style" w:cs="Bookman Old Style" w:eastAsia="Bookman Old Style"/>
          <w:color w:val="auto"/>
          <w:spacing w:val="0"/>
          <w:position w:val="0"/>
          <w:sz w:val="24"/>
          <w:shd w:fill="auto" w:val="clear"/>
        </w:rPr>
        <w:t xml:space="preserve">:</w:t>
      </w:r>
    </w:p>
    <w:p>
      <w:pPr>
        <w:spacing w:before="0" w:after="0" w:line="240"/>
        <w:ind w:right="0" w:left="0" w:firstLine="720"/>
        <w:jc w:val="center"/>
        <w:rPr>
          <w:rFonts w:ascii="Bookman Old Style" w:hAnsi="Bookman Old Style" w:cs="Bookman Old Style" w:eastAsia="Bookman Old Style"/>
          <w:color w:val="auto"/>
          <w:spacing w:val="0"/>
          <w:position w:val="0"/>
          <w:sz w:val="24"/>
          <w:shd w:fill="auto" w:val="clear"/>
        </w:rPr>
      </w:pP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Secret origin of the RAND Corporation (p24)</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Word-for-word reports to Admiral Botta about Nazi plans (p27)</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Details of high-speed tunneling systems in place for decades (p131)</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Personal involvement with Nordic alien secretaries who helped his career (various pages)</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First-hand report on the “Battle of L.A.” when the Navy retrieved their first UFO (p19)</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Germany’s effective use of mind control to convince their citizens (p44)</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Germany’s secret base in Antarctica begun in 1939 (p51)</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Admiral Byrd’s failed attempt to beat the Nazi’s in Antarctica (p94)</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Astronaut testimony of what they saw on the far-side of the Moon (p71)</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Remote Viewing of Soviet military with Bobby Ray Inman at TRW (p112)</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Specific studies in chemical warfare (p118)</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Joe Papp’s engine development killed by Detroit (p127)</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TRW’s important impact in “science fiction” movies such as “ET” (p116)</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Specifics of goals and status of several alien races (p141)</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German progress in cloning and life extension back in the 40’s (p46)</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Insight on the “20 and Back” program before hearing of Corey Goode (p197)</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Time travel speculation: did his secretary show up 50 years later? (p199)</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Alleged evidence for the use of gases for evil purposes by Reptilians (p121)</w:t>
      </w:r>
    </w:p>
    <w:p>
      <w:pPr>
        <w:numPr>
          <w:ilvl w:val="0"/>
          <w:numId w:val="9"/>
        </w:numPr>
        <w:spacing w:before="0" w:after="0" w:line="240"/>
        <w:ind w:right="0" w:left="360" w:hanging="36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Detailed designs and processes for Navy space warfare (p66)</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Robert M. Wood, Editor</w:t>
      </w: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With Michael Salla, John Wenger and Wil Wakely</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vertAlign w:val="subscript"/>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